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keepNext/>
        <w:spacing w:after="0" w:line="240" w:lineRule="auto"/>
        <w:jc w:val="center"/>
        <w:outlineLvl w:val="1"/>
        <w:rPr>
          <w:rFonts w:ascii="Arial" w:hAnsi="Arial" w:cs="Arial"/>
          <w:b/>
          <w:bCs/>
          <w:sz w:val="32"/>
          <w:szCs w:val="20"/>
          <w:lang w:eastAsia="ru-RU"/>
        </w:rPr>
      </w:pPr>
      <w:r>
        <w:rPr>
          <w:rFonts w:ascii="Arial" w:hAnsi="Arial" w:cs="Arial"/>
          <w:b/>
          <w:noProof/>
          <w:sz w:val="32"/>
          <w:szCs w:val="20"/>
          <w:lang w:eastAsia="ru-RU"/>
        </w:rPr>
        <w:drawing>
          <wp:inline distT="0" distB="0" distL="0" distR="0">
            <wp:extent cx="1295400" cy="914400"/>
            <wp:effectExtent l="0" t="0" r="0" b="0"/>
            <wp:docPr id="1" name="Рисунок 1" descr="Герб - В цве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 В цвете"/>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95400" cy="914400"/>
                    </a:xfrm>
                    <a:prstGeom prst="rect">
                      <a:avLst/>
                    </a:prstGeom>
                    <a:noFill/>
                    <a:ln>
                      <a:noFill/>
                    </a:ln>
                  </pic:spPr>
                </pic:pic>
              </a:graphicData>
            </a:graphic>
          </wp:inline>
        </w:drawing>
      </w:r>
    </w:p>
    <w:p>
      <w:pPr>
        <w:spacing w:after="0" w:line="240" w:lineRule="auto"/>
        <w:jc w:val="center"/>
        <w:rPr>
          <w:rFonts w:ascii="Times New Roman" w:hAnsi="Times New Roman" w:cs="Arial"/>
          <w:sz w:val="20"/>
          <w:szCs w:val="20"/>
        </w:rPr>
      </w:pPr>
    </w:p>
    <w:p>
      <w:pPr>
        <w:keepNext/>
        <w:spacing w:after="0" w:line="240" w:lineRule="auto"/>
        <w:jc w:val="center"/>
        <w:outlineLvl w:val="0"/>
        <w:rPr>
          <w:rFonts w:ascii="Times New Roman" w:hAnsi="Times New Roman"/>
          <w:b/>
          <w:bCs/>
          <w:sz w:val="32"/>
          <w:szCs w:val="32"/>
          <w:lang w:eastAsia="ru-RU"/>
        </w:rPr>
      </w:pPr>
      <w:r>
        <w:rPr>
          <w:rFonts w:ascii="Times New Roman" w:hAnsi="Times New Roman"/>
          <w:b/>
          <w:bCs/>
          <w:sz w:val="32"/>
          <w:szCs w:val="32"/>
          <w:lang w:eastAsia="ru-RU"/>
        </w:rPr>
        <w:t>РОССИЙСКАЯ ФЕДЕРАЦИЯ</w:t>
      </w:r>
    </w:p>
    <w:p>
      <w:pPr>
        <w:spacing w:after="0" w:line="240" w:lineRule="auto"/>
        <w:jc w:val="center"/>
        <w:rPr>
          <w:rFonts w:ascii="Times New Roman" w:hAnsi="Times New Roman"/>
          <w:b/>
          <w:bCs/>
          <w:sz w:val="32"/>
          <w:szCs w:val="32"/>
        </w:rPr>
      </w:pPr>
      <w:r>
        <w:rPr>
          <w:rFonts w:ascii="Times New Roman" w:hAnsi="Times New Roman"/>
          <w:b/>
          <w:bCs/>
          <w:sz w:val="32"/>
          <w:szCs w:val="32"/>
        </w:rPr>
        <w:t>ЧУКОТСКИЙ АВТОНОМНЫЙ ОКРУГ</w:t>
      </w:r>
    </w:p>
    <w:p>
      <w:pPr>
        <w:spacing w:after="0" w:line="240" w:lineRule="auto"/>
        <w:jc w:val="right"/>
        <w:rPr>
          <w:rFonts w:ascii="Times New Roman" w:hAnsi="Times New Roman"/>
          <w:bCs/>
          <w:sz w:val="30"/>
          <w:szCs w:val="30"/>
        </w:rPr>
      </w:pPr>
    </w:p>
    <w:p>
      <w:pPr>
        <w:keepNext/>
        <w:spacing w:after="0" w:line="240" w:lineRule="auto"/>
        <w:jc w:val="center"/>
        <w:outlineLvl w:val="1"/>
        <w:rPr>
          <w:rFonts w:ascii="Times New Roman" w:hAnsi="Times New Roman"/>
          <w:b/>
          <w:bCs/>
          <w:sz w:val="32"/>
          <w:szCs w:val="32"/>
          <w:lang w:eastAsia="ru-RU"/>
        </w:rPr>
      </w:pPr>
      <w:r>
        <w:rPr>
          <w:rFonts w:ascii="Times New Roman" w:hAnsi="Times New Roman"/>
          <w:b/>
          <w:bCs/>
          <w:sz w:val="32"/>
          <w:szCs w:val="32"/>
          <w:lang w:eastAsia="ru-RU"/>
        </w:rPr>
        <w:t>СОВЕТ ДЕПУТАТОВ</w:t>
      </w:r>
    </w:p>
    <w:p>
      <w:pPr>
        <w:spacing w:after="0" w:line="240" w:lineRule="auto"/>
        <w:jc w:val="center"/>
        <w:rPr>
          <w:rFonts w:ascii="Times New Roman" w:hAnsi="Times New Roman"/>
          <w:b/>
          <w:bCs/>
          <w:sz w:val="32"/>
          <w:szCs w:val="32"/>
        </w:rPr>
      </w:pPr>
      <w:r>
        <w:rPr>
          <w:rFonts w:ascii="Times New Roman" w:hAnsi="Times New Roman"/>
          <w:b/>
          <w:bCs/>
          <w:sz w:val="32"/>
          <w:szCs w:val="32"/>
        </w:rPr>
        <w:t>городского округа Анадырь</w:t>
      </w:r>
    </w:p>
    <w:p>
      <w:pPr>
        <w:spacing w:after="0" w:line="240" w:lineRule="auto"/>
        <w:jc w:val="center"/>
        <w:rPr>
          <w:rFonts w:ascii="Times New Roman" w:hAnsi="Times New Roman"/>
          <w:b/>
          <w:bCs/>
          <w:sz w:val="30"/>
          <w:szCs w:val="30"/>
        </w:rPr>
      </w:pPr>
    </w:p>
    <w:p>
      <w:pPr>
        <w:keepNext/>
        <w:spacing w:after="0" w:line="240" w:lineRule="auto"/>
        <w:jc w:val="center"/>
        <w:outlineLvl w:val="3"/>
        <w:rPr>
          <w:rFonts w:ascii="Times New Roman" w:hAnsi="Times New Roman"/>
          <w:b/>
          <w:bCs/>
          <w:sz w:val="32"/>
          <w:szCs w:val="32"/>
          <w:u w:val="single"/>
          <w:lang w:eastAsia="ru-RU"/>
        </w:rPr>
      </w:pPr>
      <w:r>
        <w:rPr>
          <w:rFonts w:ascii="Times New Roman" w:hAnsi="Times New Roman"/>
          <w:b/>
          <w:bCs/>
          <w:sz w:val="32"/>
          <w:szCs w:val="32"/>
          <w:u w:val="single"/>
          <w:lang w:eastAsia="ru-RU"/>
        </w:rPr>
        <w:t>Р Е Ш Е Н И Е</w:t>
      </w:r>
    </w:p>
    <w:p>
      <w:pPr>
        <w:spacing w:after="0" w:line="240" w:lineRule="auto"/>
        <w:jc w:val="center"/>
        <w:rPr>
          <w:rFonts w:ascii="Times New Roman" w:hAnsi="Times New Roman"/>
          <w:sz w:val="28"/>
          <w:szCs w:val="28"/>
        </w:rPr>
      </w:pPr>
      <w:r>
        <w:rPr>
          <w:rFonts w:ascii="Times New Roman" w:hAnsi="Times New Roman"/>
          <w:sz w:val="28"/>
          <w:szCs w:val="28"/>
        </w:rPr>
        <w:t>(</w:t>
      </w:r>
      <w:r>
        <w:rPr>
          <w:rFonts w:ascii="Times New Roman" w:hAnsi="Times New Roman"/>
          <w:sz w:val="28"/>
          <w:szCs w:val="28"/>
          <w:lang w:val="en-US"/>
        </w:rPr>
        <w:t>IX</w:t>
      </w:r>
      <w:r>
        <w:rPr>
          <w:rFonts w:ascii="Times New Roman" w:hAnsi="Times New Roman"/>
          <w:sz w:val="28"/>
          <w:szCs w:val="28"/>
        </w:rPr>
        <w:t xml:space="preserve"> сессия </w:t>
      </w:r>
      <w:r>
        <w:rPr>
          <w:rFonts w:ascii="Times New Roman" w:hAnsi="Times New Roman"/>
          <w:sz w:val="28"/>
          <w:szCs w:val="28"/>
          <w:lang w:val="en-US"/>
        </w:rPr>
        <w:t>VI</w:t>
      </w:r>
      <w:r>
        <w:rPr>
          <w:rFonts w:ascii="Times New Roman" w:hAnsi="Times New Roman"/>
          <w:sz w:val="28"/>
          <w:szCs w:val="28"/>
        </w:rPr>
        <w:t xml:space="preserve"> созыва)</w:t>
      </w: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28"/>
          <w:szCs w:val="28"/>
        </w:rPr>
      </w:pPr>
    </w:p>
    <w:p>
      <w:pPr>
        <w:spacing w:after="0" w:line="240" w:lineRule="auto"/>
        <w:jc w:val="both"/>
        <w:rPr>
          <w:rFonts w:ascii="Times New Roman" w:hAnsi="Times New Roman"/>
          <w:sz w:val="30"/>
          <w:szCs w:val="30"/>
        </w:rPr>
      </w:pPr>
      <w:r>
        <w:rPr>
          <w:rFonts w:ascii="Times New Roman" w:hAnsi="Times New Roman"/>
          <w:sz w:val="28"/>
          <w:szCs w:val="28"/>
        </w:rPr>
        <w:t>от 26 марта 2020 года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30"/>
          <w:szCs w:val="30"/>
        </w:rPr>
        <w:tab/>
      </w:r>
      <w:r>
        <w:rPr>
          <w:rFonts w:ascii="Times New Roman" w:hAnsi="Times New Roman"/>
          <w:sz w:val="30"/>
          <w:szCs w:val="30"/>
        </w:rPr>
        <w:tab/>
      </w:r>
      <w:r>
        <w:rPr>
          <w:rFonts w:ascii="Times New Roman" w:hAnsi="Times New Roman"/>
          <w:sz w:val="30"/>
          <w:szCs w:val="30"/>
        </w:rPr>
        <w:tab/>
      </w:r>
      <w:r>
        <w:rPr>
          <w:rFonts w:ascii="Times New Roman" w:hAnsi="Times New Roman"/>
          <w:sz w:val="30"/>
          <w:szCs w:val="30"/>
        </w:rPr>
        <w:tab/>
      </w:r>
      <w:r>
        <w:rPr>
          <w:rFonts w:ascii="Times New Roman" w:hAnsi="Times New Roman"/>
          <w:sz w:val="30"/>
          <w:szCs w:val="30"/>
        </w:rPr>
        <w:tab/>
      </w:r>
      <w:r>
        <w:rPr>
          <w:rFonts w:ascii="Times New Roman" w:hAnsi="Times New Roman"/>
          <w:sz w:val="30"/>
          <w:szCs w:val="30"/>
        </w:rPr>
        <w:tab/>
      </w:r>
      <w:r>
        <w:rPr>
          <w:rFonts w:ascii="Times New Roman" w:hAnsi="Times New Roman"/>
          <w:sz w:val="28"/>
          <w:szCs w:val="28"/>
        </w:rPr>
        <w:t>№ 51</w:t>
      </w:r>
    </w:p>
    <w:p>
      <w:pPr>
        <w:spacing w:after="0" w:line="240" w:lineRule="auto"/>
        <w:rPr>
          <w:rFonts w:ascii="Times New Roman" w:hAnsi="Times New Roman"/>
          <w:b/>
          <w:sz w:val="28"/>
          <w:szCs w:val="28"/>
        </w:rPr>
      </w:pPr>
    </w:p>
    <w:p>
      <w:pPr>
        <w:spacing w:after="0" w:line="240" w:lineRule="auto"/>
        <w:rPr>
          <w:rFonts w:ascii="Times New Roman" w:hAnsi="Times New Roman"/>
          <w:b/>
          <w:sz w:val="28"/>
          <w:szCs w:val="28"/>
        </w:rPr>
      </w:pPr>
    </w:p>
    <w:p>
      <w:pPr>
        <w:spacing w:after="0" w:line="240" w:lineRule="auto"/>
        <w:ind w:right="4960"/>
        <w:jc w:val="both"/>
        <w:rPr>
          <w:rFonts w:ascii="Times New Roman" w:hAnsi="Times New Roman"/>
          <w:b/>
          <w:sz w:val="28"/>
          <w:szCs w:val="28"/>
        </w:rPr>
      </w:pPr>
      <w:r>
        <w:rPr>
          <w:rFonts w:ascii="Times New Roman" w:hAnsi="Times New Roman"/>
          <w:sz w:val="28"/>
          <w:szCs w:val="28"/>
        </w:rPr>
        <w:t xml:space="preserve">О внесении изменений в Решение Совета депутатов городского округа Анадырь от 25 декабря 2018 года № 354 «Об утверждении Положения об </w:t>
      </w:r>
      <w:r>
        <w:rPr>
          <w:rFonts w:ascii="Times New Roman" w:hAnsi="Times New Roman"/>
          <w:color w:val="000000"/>
          <w:sz w:val="28"/>
          <w:szCs w:val="28"/>
        </w:rPr>
        <w:t xml:space="preserve">оплате труда </w:t>
      </w:r>
      <w:r>
        <w:rPr>
          <w:rFonts w:ascii="Times New Roman" w:eastAsiaTheme="minorHAnsi" w:hAnsi="Times New Roman"/>
          <w:sz w:val="28"/>
          <w:szCs w:val="28"/>
        </w:rPr>
        <w:t>работников органов местного самоуправления и муниципальных органов городского округа Анадырь</w:t>
      </w:r>
      <w:r>
        <w:rPr>
          <w:rFonts w:ascii="Times New Roman" w:hAnsi="Times New Roman"/>
          <w:sz w:val="28"/>
          <w:szCs w:val="28"/>
        </w:rPr>
        <w:t>»</w:t>
      </w:r>
    </w:p>
    <w:p>
      <w:pPr>
        <w:pStyle w:val="ConsPlusNormal"/>
        <w:rPr>
          <w:rFonts w:ascii="Times New Roman" w:hAnsi="Times New Roman" w:cs="Times New Roman"/>
          <w:sz w:val="28"/>
          <w:szCs w:val="28"/>
        </w:rPr>
      </w:pPr>
    </w:p>
    <w:p>
      <w:pPr>
        <w:pStyle w:val="ConsPlusNormal"/>
        <w:rPr>
          <w:rFonts w:ascii="Times New Roman" w:hAnsi="Times New Roman" w:cs="Times New Roman"/>
          <w:sz w:val="28"/>
          <w:szCs w:val="28"/>
        </w:rPr>
      </w:pPr>
    </w:p>
    <w:p>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В целях совершенствования системы оплаты труда работников органов местного самоуправления и муниципальных органов,</w:t>
      </w:r>
    </w:p>
    <w:p>
      <w:pPr>
        <w:pStyle w:val="ConsPlusNormal"/>
        <w:jc w:val="both"/>
        <w:rPr>
          <w:rFonts w:ascii="Times New Roman" w:hAnsi="Times New Roman" w:cs="Times New Roman"/>
          <w:sz w:val="28"/>
          <w:szCs w:val="28"/>
        </w:rPr>
      </w:pPr>
    </w:p>
    <w:p>
      <w:pPr>
        <w:spacing w:after="0" w:line="240" w:lineRule="auto"/>
        <w:rPr>
          <w:rFonts w:ascii="Times New Roman" w:hAnsi="Times New Roman"/>
          <w:b/>
          <w:sz w:val="28"/>
          <w:szCs w:val="28"/>
        </w:rPr>
      </w:pPr>
      <w:r>
        <w:rPr>
          <w:rFonts w:ascii="Times New Roman" w:hAnsi="Times New Roman"/>
          <w:b/>
          <w:sz w:val="28"/>
          <w:szCs w:val="28"/>
        </w:rPr>
        <w:t>Совет депутатов городского округа Анадырь</w:t>
      </w:r>
    </w:p>
    <w:p>
      <w:pPr>
        <w:spacing w:after="0" w:line="240" w:lineRule="auto"/>
        <w:rPr>
          <w:rFonts w:ascii="Times New Roman" w:hAnsi="Times New Roman"/>
          <w:b/>
          <w:sz w:val="20"/>
          <w:szCs w:val="20"/>
        </w:rPr>
      </w:pPr>
    </w:p>
    <w:p>
      <w:pPr>
        <w:pStyle w:val="ConsPlusNormal"/>
        <w:jc w:val="both"/>
        <w:rPr>
          <w:rFonts w:ascii="Times New Roman" w:hAnsi="Times New Roman" w:cs="Times New Roman"/>
          <w:b/>
          <w:sz w:val="28"/>
          <w:szCs w:val="28"/>
          <w:lang w:eastAsia="en-US"/>
        </w:rPr>
      </w:pPr>
      <w:r>
        <w:rPr>
          <w:rFonts w:ascii="Times New Roman" w:hAnsi="Times New Roman" w:cs="Times New Roman"/>
          <w:b/>
          <w:sz w:val="28"/>
          <w:szCs w:val="28"/>
          <w:lang w:eastAsia="en-US"/>
        </w:rPr>
        <w:t>Р Е Ш И Л:</w:t>
      </w:r>
    </w:p>
    <w:p>
      <w:pPr>
        <w:pStyle w:val="ConsPlusNormal"/>
        <w:jc w:val="both"/>
        <w:rPr>
          <w:rFonts w:ascii="Times New Roman" w:hAnsi="Times New Roman" w:cs="Times New Roman"/>
          <w:sz w:val="28"/>
          <w:szCs w:val="28"/>
        </w:rPr>
      </w:pPr>
    </w:p>
    <w:p>
      <w:pPr>
        <w:spacing w:line="240" w:lineRule="auto"/>
        <w:ind w:firstLine="567"/>
        <w:contextualSpacing/>
        <w:jc w:val="both"/>
        <w:rPr>
          <w:rFonts w:ascii="Times New Roman" w:hAnsi="Times New Roman"/>
          <w:sz w:val="28"/>
          <w:szCs w:val="28"/>
        </w:rPr>
      </w:pPr>
      <w:r>
        <w:rPr>
          <w:rFonts w:ascii="Times New Roman" w:hAnsi="Times New Roman"/>
          <w:sz w:val="28"/>
          <w:szCs w:val="28"/>
        </w:rPr>
        <w:t xml:space="preserve">1. Внести следующие изменения и дополнения в Решение Совета депутатов городского округа Анадырь 25 декабря 2018 года № 354 «Об утверждении Положения об </w:t>
      </w:r>
      <w:r>
        <w:rPr>
          <w:rFonts w:ascii="Times New Roman" w:hAnsi="Times New Roman"/>
          <w:color w:val="000000"/>
          <w:sz w:val="28"/>
          <w:szCs w:val="28"/>
        </w:rPr>
        <w:t xml:space="preserve">оплате труда </w:t>
      </w:r>
      <w:r>
        <w:rPr>
          <w:rFonts w:ascii="Times New Roman" w:eastAsiaTheme="minorHAnsi" w:hAnsi="Times New Roman"/>
          <w:sz w:val="28"/>
          <w:szCs w:val="28"/>
        </w:rPr>
        <w:t>работников органов местного самоуправления и муниципальных органов городского округа Анадырь</w:t>
      </w:r>
      <w:r>
        <w:rPr>
          <w:rFonts w:ascii="Times New Roman" w:hAnsi="Times New Roman"/>
          <w:sz w:val="28"/>
          <w:szCs w:val="28"/>
        </w:rPr>
        <w:t>» (далее – Положение):</w:t>
      </w:r>
    </w:p>
    <w:p>
      <w:pPr>
        <w:spacing w:line="240" w:lineRule="auto"/>
        <w:ind w:firstLine="567"/>
        <w:contextualSpacing/>
        <w:jc w:val="both"/>
        <w:rPr>
          <w:rFonts w:ascii="Times New Roman" w:hAnsi="Times New Roman"/>
          <w:sz w:val="28"/>
          <w:szCs w:val="28"/>
        </w:rPr>
      </w:pPr>
      <w:r>
        <w:rPr>
          <w:rFonts w:ascii="Times New Roman" w:hAnsi="Times New Roman"/>
          <w:sz w:val="28"/>
          <w:szCs w:val="28"/>
        </w:rPr>
        <w:t>1.1. Пункт 2.7. Положения изложить в следующей редакции:</w:t>
      </w:r>
    </w:p>
    <w:p>
      <w:pPr>
        <w:autoSpaceDE w:val="0"/>
        <w:autoSpaceDN w:val="0"/>
        <w:adjustRightInd w:val="0"/>
        <w:ind w:firstLine="540"/>
        <w:jc w:val="both"/>
        <w:rPr>
          <w:rFonts w:ascii="Times New Roman" w:eastAsiaTheme="minorHAnsi" w:hAnsi="Times New Roman"/>
          <w:iCs/>
          <w:sz w:val="28"/>
          <w:szCs w:val="28"/>
        </w:rPr>
      </w:pPr>
      <w:r>
        <w:rPr>
          <w:rFonts w:ascii="Times New Roman" w:hAnsi="Times New Roman"/>
          <w:sz w:val="28"/>
          <w:szCs w:val="28"/>
        </w:rPr>
        <w:t xml:space="preserve">«2.7. </w:t>
      </w:r>
      <w:r>
        <w:rPr>
          <w:rFonts w:ascii="Times New Roman" w:eastAsiaTheme="minorHAnsi" w:hAnsi="Times New Roman"/>
          <w:iCs/>
          <w:sz w:val="28"/>
          <w:szCs w:val="28"/>
        </w:rPr>
        <w:t xml:space="preserve">Ежемесячная надбавка </w:t>
      </w:r>
      <w:r>
        <w:rPr>
          <w:rFonts w:ascii="Times New Roman" w:hAnsi="Times New Roman"/>
          <w:sz w:val="28"/>
          <w:szCs w:val="28"/>
        </w:rPr>
        <w:t xml:space="preserve">к должностному окладу за особые условия муниципальной службы (далее – ежемесячная надбавка), </w:t>
      </w:r>
      <w:r>
        <w:rPr>
          <w:rFonts w:ascii="Times New Roman" w:eastAsiaTheme="minorHAnsi" w:hAnsi="Times New Roman"/>
          <w:iCs/>
          <w:sz w:val="28"/>
          <w:szCs w:val="28"/>
        </w:rPr>
        <w:t xml:space="preserve">устанавливается к должностному окладу в целях материального стимулирования труда </w:t>
      </w:r>
      <w:r>
        <w:rPr>
          <w:rFonts w:ascii="Times New Roman" w:eastAsiaTheme="minorHAnsi" w:hAnsi="Times New Roman"/>
          <w:iCs/>
          <w:sz w:val="28"/>
          <w:szCs w:val="28"/>
        </w:rPr>
        <w:lastRenderedPageBreak/>
        <w:t>квалифицированных, компетентных, ответственных и инициативных работников с учетом специального режима работы муниципальных служащих, объема и оперативности исполнения работы, за систематическое выполнение работ, требующих повышенного внимания, разработку нормативных правовых документов.</w:t>
      </w:r>
    </w:p>
    <w:p>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Муниципальным служащим ежемесячная надбавка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tc>
          <w:tcPr>
            <w:tcW w:w="4680" w:type="dxa"/>
          </w:tcPr>
          <w:p>
            <w:pPr>
              <w:pStyle w:val="a3"/>
              <w:contextualSpacing/>
              <w:jc w:val="both"/>
              <w:rPr>
                <w:b/>
                <w:sz w:val="28"/>
                <w:szCs w:val="28"/>
              </w:rPr>
            </w:pPr>
            <w:r>
              <w:rPr>
                <w:b/>
                <w:sz w:val="28"/>
                <w:szCs w:val="28"/>
              </w:rPr>
              <w:t>Ежемесячная надбавка за особые условия муниципальной службы</w:t>
            </w:r>
          </w:p>
        </w:tc>
        <w:tc>
          <w:tcPr>
            <w:tcW w:w="4665" w:type="dxa"/>
          </w:tcPr>
          <w:p>
            <w:pPr>
              <w:pStyle w:val="a3"/>
              <w:contextualSpacing/>
              <w:jc w:val="both"/>
              <w:rPr>
                <w:b/>
                <w:sz w:val="28"/>
                <w:szCs w:val="28"/>
              </w:rPr>
            </w:pPr>
            <w:r>
              <w:rPr>
                <w:b/>
                <w:sz w:val="28"/>
                <w:szCs w:val="28"/>
              </w:rPr>
              <w:t>В процентах от должностного оклада</w:t>
            </w:r>
          </w:p>
        </w:tc>
      </w:tr>
      <w:tr>
        <w:tc>
          <w:tcPr>
            <w:tcW w:w="4680" w:type="dxa"/>
          </w:tcPr>
          <w:p>
            <w:pPr>
              <w:pStyle w:val="a3"/>
              <w:contextualSpacing/>
              <w:jc w:val="both"/>
              <w:rPr>
                <w:sz w:val="28"/>
                <w:szCs w:val="28"/>
              </w:rPr>
            </w:pPr>
            <w:r>
              <w:rPr>
                <w:sz w:val="28"/>
                <w:szCs w:val="28"/>
              </w:rPr>
              <w:t>по высшей группе должностей муниципальной службы</w:t>
            </w:r>
          </w:p>
        </w:tc>
        <w:tc>
          <w:tcPr>
            <w:tcW w:w="4665" w:type="dxa"/>
          </w:tcPr>
          <w:p>
            <w:pPr>
              <w:pStyle w:val="a3"/>
              <w:contextualSpacing/>
              <w:jc w:val="center"/>
              <w:rPr>
                <w:sz w:val="28"/>
                <w:szCs w:val="28"/>
              </w:rPr>
            </w:pPr>
            <w:r>
              <w:rPr>
                <w:sz w:val="28"/>
                <w:szCs w:val="28"/>
              </w:rPr>
              <w:t>от 90 до 200</w:t>
            </w:r>
          </w:p>
        </w:tc>
      </w:tr>
      <w:tr>
        <w:tc>
          <w:tcPr>
            <w:tcW w:w="4680" w:type="dxa"/>
          </w:tcPr>
          <w:p>
            <w:pPr>
              <w:pStyle w:val="a3"/>
              <w:contextualSpacing/>
              <w:jc w:val="both"/>
              <w:rPr>
                <w:sz w:val="28"/>
                <w:szCs w:val="28"/>
              </w:rPr>
            </w:pPr>
            <w:r>
              <w:rPr>
                <w:sz w:val="28"/>
                <w:szCs w:val="28"/>
              </w:rPr>
              <w:br w:type="page"/>
              <w:t>по главной группе должностей муниципальной службы</w:t>
            </w:r>
          </w:p>
        </w:tc>
        <w:tc>
          <w:tcPr>
            <w:tcW w:w="4665" w:type="dxa"/>
          </w:tcPr>
          <w:p>
            <w:pPr>
              <w:pStyle w:val="a3"/>
              <w:contextualSpacing/>
              <w:jc w:val="center"/>
              <w:rPr>
                <w:sz w:val="28"/>
                <w:szCs w:val="28"/>
              </w:rPr>
            </w:pPr>
            <w:r>
              <w:rPr>
                <w:sz w:val="28"/>
                <w:szCs w:val="28"/>
              </w:rPr>
              <w:t>от 80 до 190</w:t>
            </w:r>
          </w:p>
        </w:tc>
      </w:tr>
      <w:tr>
        <w:tc>
          <w:tcPr>
            <w:tcW w:w="4680" w:type="dxa"/>
          </w:tcPr>
          <w:p>
            <w:pPr>
              <w:pStyle w:val="a3"/>
              <w:contextualSpacing/>
              <w:jc w:val="both"/>
              <w:rPr>
                <w:sz w:val="28"/>
                <w:szCs w:val="28"/>
              </w:rPr>
            </w:pPr>
            <w:r>
              <w:rPr>
                <w:sz w:val="28"/>
                <w:szCs w:val="28"/>
              </w:rPr>
              <w:t>по ведущей группе должностей муниципальной службы</w:t>
            </w:r>
          </w:p>
        </w:tc>
        <w:tc>
          <w:tcPr>
            <w:tcW w:w="4665" w:type="dxa"/>
          </w:tcPr>
          <w:p>
            <w:pPr>
              <w:pStyle w:val="a3"/>
              <w:contextualSpacing/>
              <w:jc w:val="center"/>
              <w:rPr>
                <w:sz w:val="28"/>
                <w:szCs w:val="28"/>
              </w:rPr>
            </w:pPr>
            <w:r>
              <w:rPr>
                <w:sz w:val="28"/>
                <w:szCs w:val="28"/>
              </w:rPr>
              <w:t>от 70 до 180</w:t>
            </w:r>
          </w:p>
        </w:tc>
      </w:tr>
      <w:tr>
        <w:tc>
          <w:tcPr>
            <w:tcW w:w="4680" w:type="dxa"/>
          </w:tcPr>
          <w:p>
            <w:pPr>
              <w:pStyle w:val="a3"/>
              <w:contextualSpacing/>
              <w:jc w:val="both"/>
              <w:rPr>
                <w:sz w:val="28"/>
                <w:szCs w:val="28"/>
              </w:rPr>
            </w:pPr>
            <w:r>
              <w:rPr>
                <w:sz w:val="28"/>
                <w:szCs w:val="28"/>
              </w:rPr>
              <w:t>по старшей группе должностей муниципальной службы</w:t>
            </w:r>
          </w:p>
        </w:tc>
        <w:tc>
          <w:tcPr>
            <w:tcW w:w="4665" w:type="dxa"/>
          </w:tcPr>
          <w:p>
            <w:pPr>
              <w:pStyle w:val="a3"/>
              <w:contextualSpacing/>
              <w:jc w:val="center"/>
              <w:rPr>
                <w:sz w:val="28"/>
                <w:szCs w:val="28"/>
              </w:rPr>
            </w:pPr>
            <w:r>
              <w:rPr>
                <w:sz w:val="28"/>
                <w:szCs w:val="28"/>
              </w:rPr>
              <w:t>от 50 до 150</w:t>
            </w:r>
          </w:p>
        </w:tc>
      </w:tr>
      <w:tr>
        <w:tc>
          <w:tcPr>
            <w:tcW w:w="4680" w:type="dxa"/>
          </w:tcPr>
          <w:p>
            <w:pPr>
              <w:pStyle w:val="a3"/>
              <w:contextualSpacing/>
              <w:jc w:val="both"/>
              <w:rPr>
                <w:sz w:val="28"/>
                <w:szCs w:val="28"/>
              </w:rPr>
            </w:pPr>
            <w:r>
              <w:rPr>
                <w:sz w:val="28"/>
                <w:szCs w:val="28"/>
              </w:rPr>
              <w:t>по младшей группе должностей муниципальной службы</w:t>
            </w:r>
          </w:p>
        </w:tc>
        <w:tc>
          <w:tcPr>
            <w:tcW w:w="4665" w:type="dxa"/>
          </w:tcPr>
          <w:p>
            <w:pPr>
              <w:pStyle w:val="a3"/>
              <w:contextualSpacing/>
              <w:jc w:val="center"/>
              <w:rPr>
                <w:sz w:val="28"/>
                <w:szCs w:val="28"/>
              </w:rPr>
            </w:pPr>
            <w:r>
              <w:rPr>
                <w:sz w:val="28"/>
                <w:szCs w:val="28"/>
              </w:rPr>
              <w:t>от 40 до 120</w:t>
            </w:r>
          </w:p>
        </w:tc>
      </w:tr>
    </w:tbl>
    <w:p>
      <w:pPr>
        <w:pStyle w:val="a3"/>
        <w:ind w:firstLine="708"/>
        <w:contextualSpacing/>
        <w:jc w:val="both"/>
        <w:rPr>
          <w:rFonts w:eastAsiaTheme="minorHAnsi"/>
          <w:iCs/>
          <w:sz w:val="28"/>
          <w:szCs w:val="28"/>
        </w:rPr>
      </w:pPr>
      <w:r>
        <w:rPr>
          <w:rFonts w:eastAsiaTheme="minorHAnsi"/>
          <w:iCs/>
          <w:sz w:val="28"/>
          <w:szCs w:val="28"/>
        </w:rPr>
        <w:t>Конкретный размер ежемесячной надбавки устанавливается муниципальному служащему руководителем соответствующего органа местного самоуправления, муниципального органа или руководителем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autoSpaceDE w:val="0"/>
        <w:autoSpaceDN w:val="0"/>
        <w:adjustRightInd w:val="0"/>
        <w:spacing w:line="240" w:lineRule="auto"/>
        <w:ind w:firstLine="539"/>
        <w:contextualSpacing/>
        <w:jc w:val="both"/>
        <w:rPr>
          <w:rFonts w:ascii="Times New Roman" w:eastAsiaTheme="minorHAnsi" w:hAnsi="Times New Roman"/>
          <w:iCs/>
          <w:sz w:val="28"/>
          <w:szCs w:val="28"/>
        </w:rPr>
      </w:pPr>
      <w:r>
        <w:rPr>
          <w:rFonts w:ascii="Times New Roman" w:eastAsiaTheme="minorHAnsi" w:hAnsi="Times New Roman"/>
          <w:iCs/>
          <w:sz w:val="28"/>
          <w:szCs w:val="28"/>
        </w:rPr>
        <w:t>Основными показателями для установления конкретных размеров надбавки за особые условия являются:</w:t>
      </w:r>
    </w:p>
    <w:p>
      <w:pPr>
        <w:autoSpaceDE w:val="0"/>
        <w:autoSpaceDN w:val="0"/>
        <w:adjustRightInd w:val="0"/>
        <w:spacing w:line="240" w:lineRule="auto"/>
        <w:ind w:firstLine="539"/>
        <w:contextualSpacing/>
        <w:jc w:val="both"/>
        <w:rPr>
          <w:rFonts w:ascii="Times New Roman" w:eastAsiaTheme="minorHAnsi" w:hAnsi="Times New Roman"/>
          <w:iCs/>
          <w:sz w:val="28"/>
          <w:szCs w:val="28"/>
        </w:rPr>
      </w:pPr>
      <w:r>
        <w:rPr>
          <w:rFonts w:ascii="Times New Roman" w:eastAsiaTheme="minorHAnsi" w:hAnsi="Times New Roman"/>
          <w:iCs/>
          <w:sz w:val="28"/>
          <w:szCs w:val="28"/>
        </w:rPr>
        <w:t>- профессиональный уровень исполнения муниципальным служащим должностных обязанностей;</w:t>
      </w:r>
    </w:p>
    <w:p>
      <w:pPr>
        <w:autoSpaceDE w:val="0"/>
        <w:autoSpaceDN w:val="0"/>
        <w:adjustRightInd w:val="0"/>
        <w:spacing w:line="240" w:lineRule="auto"/>
        <w:ind w:firstLine="539"/>
        <w:contextualSpacing/>
        <w:jc w:val="both"/>
        <w:rPr>
          <w:rFonts w:ascii="Times New Roman" w:eastAsiaTheme="minorHAnsi" w:hAnsi="Times New Roman"/>
          <w:iCs/>
          <w:sz w:val="28"/>
          <w:szCs w:val="28"/>
        </w:rPr>
      </w:pPr>
      <w:r>
        <w:rPr>
          <w:rFonts w:ascii="Times New Roman" w:eastAsiaTheme="minorHAnsi" w:hAnsi="Times New Roman"/>
          <w:iCs/>
          <w:sz w:val="28"/>
          <w:szCs w:val="28"/>
        </w:rPr>
        <w:t>- сложность и срочность выполняемой работы, знание и правильное применение соответствующих нормативных правовых актов;</w:t>
      </w:r>
    </w:p>
    <w:p>
      <w:pPr>
        <w:autoSpaceDE w:val="0"/>
        <w:autoSpaceDN w:val="0"/>
        <w:adjustRightInd w:val="0"/>
        <w:spacing w:line="240" w:lineRule="auto"/>
        <w:ind w:firstLine="539"/>
        <w:contextualSpacing/>
        <w:jc w:val="both"/>
        <w:rPr>
          <w:rFonts w:ascii="Times New Roman" w:eastAsiaTheme="minorHAnsi" w:hAnsi="Times New Roman"/>
          <w:iCs/>
          <w:sz w:val="28"/>
          <w:szCs w:val="28"/>
        </w:rPr>
      </w:pPr>
      <w:r>
        <w:rPr>
          <w:rFonts w:ascii="Times New Roman" w:eastAsiaTheme="minorHAnsi" w:hAnsi="Times New Roman"/>
          <w:iCs/>
          <w:sz w:val="28"/>
          <w:szCs w:val="28"/>
        </w:rPr>
        <w:t>- компетентность при выполнении наиболее важных, сложных и ответственных работ;</w:t>
      </w:r>
    </w:p>
    <w:p>
      <w:pPr>
        <w:autoSpaceDE w:val="0"/>
        <w:autoSpaceDN w:val="0"/>
        <w:adjustRightInd w:val="0"/>
        <w:spacing w:line="240" w:lineRule="auto"/>
        <w:ind w:firstLine="539"/>
        <w:contextualSpacing/>
        <w:jc w:val="both"/>
        <w:rPr>
          <w:rFonts w:ascii="Times New Roman" w:eastAsiaTheme="minorHAnsi" w:hAnsi="Times New Roman"/>
          <w:iCs/>
          <w:sz w:val="28"/>
          <w:szCs w:val="28"/>
        </w:rPr>
      </w:pPr>
      <w:r>
        <w:rPr>
          <w:rFonts w:ascii="Times New Roman" w:eastAsiaTheme="minorHAnsi" w:hAnsi="Times New Roman"/>
          <w:iCs/>
          <w:sz w:val="28"/>
          <w:szCs w:val="28"/>
        </w:rPr>
        <w:t>- качественное и оперативное выполнение работ высокой напряженности и интенсивности (большой объем, систематическое выполнение срочных и неотложных поручений, а также работ, требующих повышенного внимания и др.).</w:t>
      </w:r>
    </w:p>
    <w:p>
      <w:pPr>
        <w:autoSpaceDE w:val="0"/>
        <w:autoSpaceDN w:val="0"/>
        <w:adjustRightInd w:val="0"/>
        <w:spacing w:line="240" w:lineRule="auto"/>
        <w:ind w:firstLine="540"/>
        <w:jc w:val="both"/>
        <w:rPr>
          <w:rFonts w:ascii="Times New Roman" w:eastAsiaTheme="minorHAnsi" w:hAnsi="Times New Roman"/>
          <w:iCs/>
          <w:sz w:val="28"/>
          <w:szCs w:val="28"/>
        </w:rPr>
      </w:pPr>
      <w:r>
        <w:rPr>
          <w:rFonts w:ascii="Times New Roman" w:eastAsiaTheme="minorHAnsi" w:hAnsi="Times New Roman"/>
          <w:iCs/>
          <w:sz w:val="28"/>
          <w:szCs w:val="28"/>
        </w:rPr>
        <w:t>Руководитель вправе решать вопрос об изменении (уменьшении или увеличении) размера установленной надбавки в случаях изменения характера и режима службы, снижения результатов служебной деятельности, привлечения к дисциплинарной ответственности.</w:t>
      </w:r>
    </w:p>
    <w:p>
      <w:pPr>
        <w:pStyle w:val="a3"/>
        <w:ind w:firstLine="708"/>
        <w:contextualSpacing/>
        <w:jc w:val="both"/>
        <w:rPr>
          <w:rFonts w:eastAsiaTheme="minorHAnsi"/>
          <w:iCs/>
          <w:sz w:val="28"/>
          <w:szCs w:val="28"/>
        </w:rPr>
      </w:pPr>
      <w:r>
        <w:rPr>
          <w:rFonts w:eastAsiaTheme="minorHAnsi"/>
          <w:iCs/>
          <w:sz w:val="28"/>
          <w:szCs w:val="28"/>
        </w:rPr>
        <w:lastRenderedPageBreak/>
        <w:t>За ненадлежащее исполнение служебных обязанностей может быть снижен ранее установленный размер ежемесячной надбавки, но не ниже минимального размера по соответствующей группе должностей, установленного пунктом 2.7 настоящего Положения.</w:t>
      </w:r>
    </w:p>
    <w:p>
      <w:pPr>
        <w:pStyle w:val="a3"/>
        <w:ind w:firstLine="708"/>
        <w:contextualSpacing/>
        <w:jc w:val="both"/>
        <w:rPr>
          <w:rFonts w:eastAsiaTheme="minorHAnsi"/>
          <w:iCs/>
          <w:sz w:val="28"/>
          <w:szCs w:val="28"/>
        </w:rPr>
      </w:pPr>
      <w:r>
        <w:rPr>
          <w:rFonts w:eastAsiaTheme="minorHAnsi"/>
          <w:iCs/>
          <w:sz w:val="28"/>
          <w:szCs w:val="28"/>
        </w:rPr>
        <w:t>Решение об изменении размера надбавки за особые условия муниципальной службы муниципальным служащим принимается руководителем соответствующего органа местного самоуправления, муниципального органа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pStyle w:val="a3"/>
        <w:ind w:firstLine="708"/>
        <w:contextualSpacing/>
        <w:jc w:val="both"/>
        <w:rPr>
          <w:rFonts w:eastAsiaTheme="minorHAnsi"/>
          <w:iCs/>
          <w:sz w:val="28"/>
          <w:szCs w:val="28"/>
        </w:rPr>
      </w:pPr>
      <w:r>
        <w:rPr>
          <w:rFonts w:eastAsiaTheme="minorHAnsi"/>
          <w:iCs/>
          <w:sz w:val="28"/>
          <w:szCs w:val="28"/>
        </w:rPr>
        <w:t xml:space="preserve">Ежемесячная надбавка, установленная в соответствии с настоящим Положением, выплачивается муниципальным служащим одновременно с выплатой денежного содержания и учитывается во всех случаях определения среднего заработка. </w:t>
      </w:r>
    </w:p>
    <w:p>
      <w:pPr>
        <w:pStyle w:val="a3"/>
        <w:ind w:firstLine="708"/>
        <w:contextualSpacing/>
        <w:jc w:val="both"/>
        <w:rPr>
          <w:rFonts w:eastAsiaTheme="minorHAnsi"/>
          <w:iCs/>
          <w:sz w:val="28"/>
          <w:szCs w:val="28"/>
        </w:rPr>
      </w:pPr>
      <w:r>
        <w:rPr>
          <w:rFonts w:eastAsiaTheme="minorHAnsi"/>
          <w:iCs/>
          <w:sz w:val="28"/>
          <w:szCs w:val="28"/>
        </w:rPr>
        <w:t>Основанием для выплаты ежемесячной надбавки к должностному окладу за особые условия муниципальной службы является муниципальный правовой акт руководителя соответствующего органа местного самоуправления, муниципального органа городского округа Анадырь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pStyle w:val="a3"/>
        <w:ind w:firstLine="708"/>
        <w:contextualSpacing/>
        <w:jc w:val="both"/>
        <w:rPr>
          <w:rFonts w:eastAsiaTheme="minorHAnsi"/>
          <w:iCs/>
          <w:sz w:val="28"/>
          <w:szCs w:val="28"/>
        </w:rPr>
      </w:pPr>
      <w:r>
        <w:rPr>
          <w:rFonts w:eastAsiaTheme="minorHAnsi"/>
          <w:iCs/>
          <w:sz w:val="28"/>
          <w:szCs w:val="28"/>
        </w:rPr>
        <w:t xml:space="preserve"> Размер ежемесячной надбавки руководителям структурных подразделений органов местного самоуправления, муниципальных органов, относящихся к категории муниципальных служащих устанавливается:</w:t>
      </w:r>
    </w:p>
    <w:p>
      <w:pPr>
        <w:pStyle w:val="a3"/>
        <w:ind w:firstLine="708"/>
        <w:contextualSpacing/>
        <w:jc w:val="both"/>
        <w:rPr>
          <w:rFonts w:eastAsiaTheme="minorHAnsi"/>
          <w:iCs/>
          <w:sz w:val="28"/>
          <w:szCs w:val="28"/>
        </w:rPr>
      </w:pPr>
      <w:r>
        <w:rPr>
          <w:rFonts w:eastAsiaTheme="minorHAnsi"/>
          <w:iCs/>
          <w:sz w:val="28"/>
          <w:szCs w:val="28"/>
        </w:rPr>
        <w:t xml:space="preserve">- руководителям структурных подразделений Администрации городского округа Анадырь включая </w:t>
      </w:r>
      <w:r>
        <w:rPr>
          <w:color w:val="000000"/>
          <w:sz w:val="28"/>
          <w:szCs w:val="28"/>
        </w:rPr>
        <w:t>структурные подразделения, являющиеся юридическими лицами</w:t>
      </w:r>
      <w:r>
        <w:rPr>
          <w:rFonts w:eastAsiaTheme="minorHAnsi"/>
          <w:iCs/>
          <w:sz w:val="28"/>
          <w:szCs w:val="28"/>
        </w:rPr>
        <w:t xml:space="preserve"> – правовым актом Главы Администрации городского округа Анадырь;</w:t>
      </w:r>
    </w:p>
    <w:p>
      <w:pPr>
        <w:pStyle w:val="a3"/>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Совета депутатов городского округа Анадырь – правовым актом Председателя Совета депутатов городского округа Анадырь;</w:t>
      </w:r>
    </w:p>
    <w:p>
      <w:pPr>
        <w:pStyle w:val="a3"/>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муниципальных органов- правовым актом руководителя муниципального органа.</w:t>
      </w:r>
    </w:p>
    <w:p>
      <w:pPr>
        <w:pStyle w:val="a3"/>
        <w:ind w:firstLine="708"/>
        <w:contextualSpacing/>
        <w:jc w:val="both"/>
        <w:rPr>
          <w:rFonts w:eastAsiaTheme="minorHAnsi"/>
          <w:iCs/>
          <w:sz w:val="28"/>
          <w:szCs w:val="28"/>
        </w:rPr>
      </w:pPr>
      <w:r>
        <w:rPr>
          <w:rFonts w:eastAsiaTheme="minorHAnsi"/>
          <w:iCs/>
          <w:sz w:val="28"/>
          <w:szCs w:val="28"/>
        </w:rPr>
        <w:t>Основанием для выплаты ежемесячной надбавки руководителям структурных подразделений органов местного самоуправления, муниципальных органов является муниципальный правовой акт руководителя соответствующего органа местного самоуправления или муниципального органа городского округа Анадырь, издаваемый ежемесячно.</w:t>
      </w:r>
    </w:p>
    <w:p>
      <w:pPr>
        <w:pStyle w:val="a3"/>
        <w:ind w:firstLine="708"/>
        <w:contextualSpacing/>
        <w:jc w:val="both"/>
        <w:rPr>
          <w:rFonts w:eastAsiaTheme="minorHAnsi"/>
          <w:iCs/>
          <w:sz w:val="28"/>
          <w:szCs w:val="28"/>
        </w:rPr>
      </w:pPr>
      <w:r>
        <w:rPr>
          <w:rFonts w:eastAsiaTheme="minorHAnsi"/>
          <w:iCs/>
          <w:sz w:val="28"/>
          <w:szCs w:val="28"/>
        </w:rPr>
        <w:t>1.2. Пункт 2.8. Положения изложить в следующей редакции:</w:t>
      </w:r>
    </w:p>
    <w:p>
      <w:pPr>
        <w:pStyle w:val="a3"/>
        <w:ind w:firstLine="708"/>
        <w:jc w:val="both"/>
        <w:rPr>
          <w:color w:val="000000"/>
          <w:sz w:val="28"/>
          <w:szCs w:val="28"/>
        </w:rPr>
      </w:pPr>
      <w:r>
        <w:rPr>
          <w:rFonts w:eastAsiaTheme="minorHAnsi"/>
          <w:iCs/>
          <w:sz w:val="28"/>
          <w:szCs w:val="28"/>
        </w:rPr>
        <w:t>«</w:t>
      </w:r>
      <w:r>
        <w:rPr>
          <w:color w:val="000000"/>
          <w:sz w:val="28"/>
          <w:szCs w:val="28"/>
        </w:rPr>
        <w:t>2.8. Ежемесячное денежное поощрение является формой материального стимулирования эффективного и добросовестного исполнения своих должностных обязанностей муниципальными служащими.</w:t>
      </w:r>
    </w:p>
    <w:p>
      <w:pPr>
        <w:pStyle w:val="a3"/>
        <w:ind w:firstLine="708"/>
        <w:jc w:val="both"/>
        <w:rPr>
          <w:sz w:val="28"/>
          <w:szCs w:val="28"/>
        </w:rPr>
      </w:pPr>
      <w:r>
        <w:rPr>
          <w:sz w:val="28"/>
          <w:szCs w:val="28"/>
        </w:rPr>
        <w:t xml:space="preserve">Ежемесячное денежное поощрение устанавливается либо в виде процентных ставок от должностного оклада, либо в фиксированном размере. </w:t>
      </w:r>
    </w:p>
    <w:p>
      <w:pPr>
        <w:pStyle w:val="a3"/>
        <w:ind w:firstLine="708"/>
        <w:contextualSpacing/>
        <w:jc w:val="both"/>
        <w:rPr>
          <w:rFonts w:eastAsiaTheme="minorHAnsi"/>
          <w:iCs/>
          <w:sz w:val="28"/>
          <w:szCs w:val="28"/>
        </w:rPr>
      </w:pPr>
      <w:r>
        <w:rPr>
          <w:sz w:val="28"/>
          <w:szCs w:val="28"/>
        </w:rPr>
        <w:lastRenderedPageBreak/>
        <w:t xml:space="preserve">Конкретный размер ежемесячного денежного поощрения муниципальному служащему определяется </w:t>
      </w:r>
      <w:r>
        <w:rPr>
          <w:rFonts w:eastAsiaTheme="minorHAnsi"/>
          <w:iCs/>
          <w:sz w:val="28"/>
          <w:szCs w:val="28"/>
        </w:rPr>
        <w:t>руководителем соответствующего органа местного самоуправления, муниципального органа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pStyle w:val="a3"/>
        <w:ind w:firstLine="708"/>
        <w:contextualSpacing/>
        <w:jc w:val="both"/>
        <w:rPr>
          <w:rFonts w:eastAsiaTheme="minorHAnsi"/>
          <w:iCs/>
          <w:sz w:val="28"/>
          <w:szCs w:val="28"/>
        </w:rPr>
      </w:pPr>
      <w:r>
        <w:rPr>
          <w:rFonts w:eastAsiaTheme="minorHAnsi"/>
          <w:iCs/>
          <w:sz w:val="28"/>
          <w:szCs w:val="28"/>
        </w:rPr>
        <w:t>Размер ежемесячного денежного поощрения руководителям структурных подразделений органов местного самоуправления, муниципальных органов, относящихся к категории муниципальных служащих устанавливается:</w:t>
      </w:r>
    </w:p>
    <w:p>
      <w:pPr>
        <w:pStyle w:val="a3"/>
        <w:ind w:firstLine="708"/>
        <w:contextualSpacing/>
        <w:jc w:val="both"/>
        <w:rPr>
          <w:rFonts w:eastAsiaTheme="minorHAnsi"/>
          <w:iCs/>
          <w:sz w:val="28"/>
          <w:szCs w:val="28"/>
        </w:rPr>
      </w:pPr>
      <w:r>
        <w:rPr>
          <w:rFonts w:eastAsiaTheme="minorHAnsi"/>
          <w:iCs/>
          <w:sz w:val="28"/>
          <w:szCs w:val="28"/>
        </w:rPr>
        <w:t xml:space="preserve">- руководителям структурных подразделений Администрации городского округа Анадырь включая </w:t>
      </w:r>
      <w:r>
        <w:rPr>
          <w:color w:val="000000"/>
          <w:sz w:val="28"/>
          <w:szCs w:val="28"/>
        </w:rPr>
        <w:t>структурные подразделения, являющиеся юридическими лицами</w:t>
      </w:r>
      <w:r>
        <w:rPr>
          <w:rFonts w:eastAsiaTheme="minorHAnsi"/>
          <w:iCs/>
          <w:sz w:val="28"/>
          <w:szCs w:val="28"/>
        </w:rPr>
        <w:t xml:space="preserve"> – правовым актом Главы Администрации городского округа Анадырь;</w:t>
      </w:r>
    </w:p>
    <w:p>
      <w:pPr>
        <w:pStyle w:val="a3"/>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Совета депутатов городского округа Анадырь – правовым актом Председателя Совета депутатов городского округа Анадырь;</w:t>
      </w:r>
    </w:p>
    <w:p>
      <w:pPr>
        <w:pStyle w:val="a3"/>
        <w:ind w:firstLine="708"/>
        <w:contextualSpacing/>
        <w:jc w:val="both"/>
        <w:rPr>
          <w:rFonts w:eastAsiaTheme="minorHAnsi"/>
          <w:iCs/>
          <w:sz w:val="28"/>
          <w:szCs w:val="28"/>
        </w:rPr>
      </w:pPr>
      <w:r>
        <w:rPr>
          <w:rFonts w:eastAsiaTheme="minorHAnsi"/>
          <w:iCs/>
          <w:sz w:val="28"/>
          <w:szCs w:val="28"/>
        </w:rPr>
        <w:t>- руководителям структурных подразделений муниципальных органов- правовым актом руководителя муниципального органа.</w:t>
      </w:r>
    </w:p>
    <w:p>
      <w:pPr>
        <w:pStyle w:val="a3"/>
        <w:ind w:firstLine="708"/>
        <w:contextualSpacing/>
        <w:jc w:val="both"/>
        <w:rPr>
          <w:rFonts w:eastAsiaTheme="minorHAnsi"/>
          <w:iCs/>
          <w:sz w:val="28"/>
          <w:szCs w:val="28"/>
        </w:rPr>
      </w:pPr>
      <w:r>
        <w:rPr>
          <w:rFonts w:eastAsiaTheme="minorHAnsi"/>
          <w:iCs/>
          <w:sz w:val="28"/>
          <w:szCs w:val="28"/>
        </w:rPr>
        <w:t>Основанием для выплаты ежемесячного денежного поощрения руководителям структурных подразделений органов местного самоуправления, муниципальных органов является муниципальный правовой акт руководителя соответствующего органа местного самоуправления или муниципального органа городского округа Анадырь, издаваемый ежемесячно.</w:t>
      </w:r>
    </w:p>
    <w:p>
      <w:pPr>
        <w:pStyle w:val="a3"/>
        <w:ind w:firstLine="708"/>
        <w:jc w:val="both"/>
        <w:rPr>
          <w:color w:val="000000"/>
          <w:sz w:val="28"/>
          <w:szCs w:val="28"/>
        </w:rPr>
      </w:pPr>
      <w:r>
        <w:rPr>
          <w:color w:val="000000"/>
          <w:sz w:val="28"/>
          <w:szCs w:val="28"/>
        </w:rPr>
        <w:t>Основными условиями ежемесячного денежного поощрения муниципальных служащих являются:</w:t>
      </w:r>
    </w:p>
    <w:p>
      <w:pPr>
        <w:pStyle w:val="a3"/>
        <w:ind w:firstLine="708"/>
        <w:jc w:val="both"/>
        <w:rPr>
          <w:color w:val="000000"/>
          <w:sz w:val="28"/>
          <w:szCs w:val="28"/>
        </w:rPr>
      </w:pPr>
      <w:r>
        <w:rPr>
          <w:color w:val="000000"/>
          <w:sz w:val="28"/>
          <w:szCs w:val="28"/>
        </w:rPr>
        <w:t>1) оперативное решение поставленных задач;</w:t>
      </w:r>
    </w:p>
    <w:p>
      <w:pPr>
        <w:pStyle w:val="a3"/>
        <w:ind w:firstLine="708"/>
        <w:jc w:val="both"/>
        <w:rPr>
          <w:color w:val="000000"/>
          <w:sz w:val="28"/>
          <w:szCs w:val="28"/>
        </w:rPr>
      </w:pPr>
      <w:r>
        <w:rPr>
          <w:color w:val="000000"/>
          <w:sz w:val="28"/>
          <w:szCs w:val="28"/>
        </w:rPr>
        <w:t>2) качественная подготовка и разработка нормативных правовых актов, методических рекомендаций, аналитических материалов;</w:t>
      </w:r>
    </w:p>
    <w:p>
      <w:pPr>
        <w:pStyle w:val="a3"/>
        <w:ind w:firstLine="708"/>
        <w:jc w:val="both"/>
        <w:rPr>
          <w:color w:val="000000"/>
          <w:sz w:val="28"/>
          <w:szCs w:val="28"/>
        </w:rPr>
      </w:pPr>
      <w:r>
        <w:rPr>
          <w:color w:val="000000"/>
          <w:sz w:val="28"/>
          <w:szCs w:val="28"/>
        </w:rPr>
        <w:t>3) инициатива и творческое отношение к делу;</w:t>
      </w:r>
    </w:p>
    <w:p>
      <w:pPr>
        <w:pStyle w:val="a3"/>
        <w:ind w:firstLine="708"/>
        <w:jc w:val="both"/>
        <w:rPr>
          <w:color w:val="000000"/>
          <w:sz w:val="28"/>
          <w:szCs w:val="28"/>
        </w:rPr>
      </w:pPr>
      <w:r>
        <w:rPr>
          <w:color w:val="000000"/>
          <w:sz w:val="28"/>
          <w:szCs w:val="28"/>
        </w:rPr>
        <w:t>4) своевременное и качественное исполнение обязанностей, предусмотренных должностными инструкциями.</w:t>
      </w:r>
    </w:p>
    <w:p>
      <w:pPr>
        <w:pStyle w:val="a3"/>
        <w:ind w:firstLine="708"/>
        <w:jc w:val="both"/>
        <w:rPr>
          <w:color w:val="000000"/>
          <w:sz w:val="28"/>
          <w:szCs w:val="28"/>
        </w:rPr>
      </w:pPr>
      <w:r>
        <w:rPr>
          <w:color w:val="000000"/>
          <w:sz w:val="28"/>
          <w:szCs w:val="28"/>
        </w:rPr>
        <w:t>5) качественное и своевременное выполнений отдельных поручение руководства.</w:t>
      </w:r>
    </w:p>
    <w:p>
      <w:pPr>
        <w:pStyle w:val="a3"/>
        <w:ind w:firstLine="708"/>
        <w:jc w:val="both"/>
        <w:rPr>
          <w:color w:val="000000"/>
          <w:sz w:val="28"/>
          <w:szCs w:val="28"/>
        </w:rPr>
      </w:pPr>
      <w:r>
        <w:rPr>
          <w:color w:val="000000"/>
          <w:sz w:val="28"/>
          <w:szCs w:val="28"/>
        </w:rPr>
        <w:t>Ежемесячное денежное поощрение выплачивается одновременно с выплатой денежного содержания и учитывается во всех случаях исчисления среднего заработка.</w:t>
      </w:r>
    </w:p>
    <w:p>
      <w:pPr>
        <w:pStyle w:val="a3"/>
        <w:ind w:firstLine="708"/>
        <w:contextualSpacing/>
        <w:jc w:val="both"/>
        <w:rPr>
          <w:rFonts w:eastAsiaTheme="minorHAnsi"/>
          <w:iCs/>
          <w:sz w:val="28"/>
          <w:szCs w:val="28"/>
        </w:rPr>
      </w:pPr>
      <w:r>
        <w:rPr>
          <w:rFonts w:eastAsiaTheme="minorHAnsi"/>
          <w:iCs/>
          <w:sz w:val="28"/>
          <w:szCs w:val="28"/>
        </w:rPr>
        <w:t>Муниципальные служащие могут быть лишены поощрения полностью или частично по итогам работы за месяц за:</w:t>
      </w:r>
    </w:p>
    <w:p>
      <w:pPr>
        <w:pStyle w:val="a3"/>
        <w:ind w:firstLine="708"/>
        <w:contextualSpacing/>
        <w:jc w:val="both"/>
        <w:rPr>
          <w:rFonts w:eastAsiaTheme="minorHAnsi"/>
          <w:iCs/>
          <w:sz w:val="28"/>
          <w:szCs w:val="28"/>
        </w:rPr>
      </w:pPr>
      <w:r>
        <w:rPr>
          <w:rFonts w:eastAsiaTheme="minorHAnsi"/>
          <w:iCs/>
          <w:sz w:val="28"/>
          <w:szCs w:val="28"/>
        </w:rPr>
        <w:t>- несвоевременное и некачественное выполнение заданий, поручений руководителя;</w:t>
      </w:r>
    </w:p>
    <w:p>
      <w:pPr>
        <w:pStyle w:val="a3"/>
        <w:ind w:firstLine="708"/>
        <w:contextualSpacing/>
        <w:jc w:val="both"/>
        <w:rPr>
          <w:rFonts w:eastAsiaTheme="minorHAnsi"/>
          <w:iCs/>
          <w:sz w:val="28"/>
          <w:szCs w:val="28"/>
        </w:rPr>
      </w:pPr>
      <w:r>
        <w:rPr>
          <w:rFonts w:eastAsiaTheme="minorHAnsi"/>
          <w:iCs/>
          <w:sz w:val="28"/>
          <w:szCs w:val="28"/>
        </w:rPr>
        <w:t>- нарушение сроков оформления документов, несвоевременное и некачественное представление информации в вышестоящие ведомственные учреждения (организации);</w:t>
      </w:r>
    </w:p>
    <w:p>
      <w:pPr>
        <w:pStyle w:val="a3"/>
        <w:ind w:firstLine="708"/>
        <w:contextualSpacing/>
        <w:jc w:val="both"/>
        <w:rPr>
          <w:rFonts w:eastAsiaTheme="minorHAnsi"/>
          <w:iCs/>
          <w:sz w:val="28"/>
          <w:szCs w:val="28"/>
        </w:rPr>
      </w:pPr>
      <w:r>
        <w:rPr>
          <w:rFonts w:eastAsiaTheme="minorHAnsi"/>
          <w:iCs/>
          <w:sz w:val="28"/>
          <w:szCs w:val="28"/>
        </w:rPr>
        <w:lastRenderedPageBreak/>
        <w:t>- несвоевременное и (или) некачественное рассмотрение заявлений и жалоб граждан;</w:t>
      </w:r>
    </w:p>
    <w:p>
      <w:pPr>
        <w:pStyle w:val="a3"/>
        <w:ind w:firstLine="708"/>
        <w:contextualSpacing/>
        <w:jc w:val="both"/>
        <w:rPr>
          <w:rFonts w:eastAsiaTheme="minorHAnsi"/>
          <w:iCs/>
          <w:sz w:val="28"/>
          <w:szCs w:val="28"/>
        </w:rPr>
      </w:pPr>
      <w:r>
        <w:rPr>
          <w:rFonts w:eastAsiaTheme="minorHAnsi"/>
          <w:iCs/>
          <w:sz w:val="28"/>
          <w:szCs w:val="28"/>
        </w:rPr>
        <w:t>- наложенное дисциплинарное взыскание;</w:t>
      </w:r>
    </w:p>
    <w:p>
      <w:pPr>
        <w:pStyle w:val="a3"/>
        <w:ind w:firstLine="708"/>
        <w:contextualSpacing/>
        <w:jc w:val="both"/>
        <w:rPr>
          <w:rFonts w:eastAsiaTheme="minorHAnsi"/>
          <w:bCs/>
          <w:sz w:val="26"/>
          <w:szCs w:val="26"/>
        </w:rPr>
      </w:pPr>
      <w:r>
        <w:rPr>
          <w:rFonts w:eastAsiaTheme="minorHAnsi"/>
          <w:iCs/>
          <w:sz w:val="28"/>
          <w:szCs w:val="28"/>
        </w:rPr>
        <w:t>- нарушение трудовой и финансовой дисциплин.</w:t>
      </w:r>
    </w:p>
    <w:p>
      <w:pPr>
        <w:pStyle w:val="a3"/>
        <w:ind w:firstLine="708"/>
        <w:jc w:val="both"/>
        <w:rPr>
          <w:rFonts w:eastAsiaTheme="minorHAnsi"/>
          <w:iCs/>
          <w:sz w:val="28"/>
          <w:szCs w:val="28"/>
        </w:rPr>
      </w:pPr>
      <w:r>
        <w:rPr>
          <w:color w:val="000000"/>
          <w:sz w:val="28"/>
          <w:szCs w:val="28"/>
        </w:rPr>
        <w:t xml:space="preserve">Основанием для выплаты ежемесячного денежного поощрения муниципальному служащему </w:t>
      </w:r>
      <w:r>
        <w:rPr>
          <w:rFonts w:eastAsiaTheme="minorHAnsi"/>
          <w:iCs/>
          <w:sz w:val="28"/>
          <w:szCs w:val="28"/>
        </w:rPr>
        <w:t>является муниципальный правовой акт руководителя соответствующего органа местного самоуправления, муниципального органа городского округа Анадырь или руководителя соответствующего структурного подразделения Администрации городского округа Анадырь, являющегося юридическим лицом, сотрудником которого является муниципальный служащий.</w:t>
      </w:r>
    </w:p>
    <w:p>
      <w:pPr>
        <w:pStyle w:val="a3"/>
        <w:ind w:firstLine="708"/>
        <w:jc w:val="both"/>
        <w:rPr>
          <w:color w:val="000000"/>
          <w:sz w:val="28"/>
          <w:szCs w:val="28"/>
        </w:rPr>
      </w:pPr>
      <w:r>
        <w:rPr>
          <w:color w:val="000000"/>
          <w:sz w:val="28"/>
          <w:szCs w:val="28"/>
        </w:rPr>
        <w:t>Размер ежемесячного денежного поощрения максимальным значением не ограничен»;</w:t>
      </w:r>
    </w:p>
    <w:p>
      <w:pPr>
        <w:pStyle w:val="a3"/>
        <w:ind w:firstLine="708"/>
        <w:jc w:val="both"/>
        <w:rPr>
          <w:color w:val="000000"/>
          <w:sz w:val="28"/>
          <w:szCs w:val="28"/>
        </w:rPr>
      </w:pPr>
      <w:r>
        <w:rPr>
          <w:color w:val="000000"/>
          <w:sz w:val="28"/>
          <w:szCs w:val="28"/>
        </w:rPr>
        <w:t>1.3. Дополнить Положение пунктом 4.4 следующего содержания:</w:t>
      </w:r>
    </w:p>
    <w:p>
      <w:pPr>
        <w:pStyle w:val="a3"/>
        <w:ind w:firstLine="708"/>
        <w:jc w:val="both"/>
        <w:rPr>
          <w:color w:val="000000"/>
          <w:sz w:val="28"/>
          <w:szCs w:val="28"/>
        </w:rPr>
      </w:pPr>
      <w:r>
        <w:rPr>
          <w:color w:val="000000"/>
          <w:sz w:val="28"/>
          <w:szCs w:val="28"/>
        </w:rPr>
        <w:t>«4.4. Фонд оплаты труда работников органов местного самоуправления и муниципальных органов городского округа Анадырь, сформированный в соответствии с нормативами, указанными в настоящем Порядке подлежит изменению в следующих случаях:</w:t>
      </w:r>
    </w:p>
    <w:p>
      <w:pPr>
        <w:pStyle w:val="a3"/>
        <w:ind w:firstLine="708"/>
        <w:jc w:val="both"/>
        <w:rPr>
          <w:color w:val="000000"/>
          <w:sz w:val="28"/>
          <w:szCs w:val="28"/>
        </w:rPr>
      </w:pPr>
      <w:r>
        <w:rPr>
          <w:color w:val="000000"/>
          <w:sz w:val="28"/>
          <w:szCs w:val="28"/>
        </w:rPr>
        <w:t>- изменение штатной численности работников;</w:t>
      </w:r>
    </w:p>
    <w:p>
      <w:pPr>
        <w:pStyle w:val="a3"/>
        <w:ind w:firstLine="708"/>
        <w:jc w:val="both"/>
        <w:rPr>
          <w:color w:val="000000"/>
          <w:sz w:val="28"/>
          <w:szCs w:val="28"/>
        </w:rPr>
      </w:pPr>
      <w:r>
        <w:rPr>
          <w:color w:val="000000"/>
          <w:sz w:val="28"/>
          <w:szCs w:val="28"/>
        </w:rPr>
        <w:t>- изменения условий оплаты труда работников органов местного самоуправления и муниципальных органов городского округа Анадырь в связи с изменением законодательства Российской Федерации, Чукотского автономного округа и нормативных правовых актов городского округа Анадырь;</w:t>
      </w:r>
    </w:p>
    <w:p>
      <w:pPr>
        <w:pStyle w:val="a3"/>
        <w:ind w:firstLine="708"/>
        <w:jc w:val="both"/>
        <w:rPr>
          <w:color w:val="000000"/>
          <w:sz w:val="28"/>
          <w:szCs w:val="28"/>
        </w:rPr>
      </w:pPr>
      <w:r>
        <w:rPr>
          <w:color w:val="000000"/>
          <w:sz w:val="28"/>
          <w:szCs w:val="28"/>
        </w:rPr>
        <w:t>- выплаты денежной компенсации за неиспользованный отпуск при увольнении работников;</w:t>
      </w:r>
    </w:p>
    <w:p>
      <w:pPr>
        <w:pStyle w:val="a3"/>
        <w:ind w:firstLine="708"/>
        <w:jc w:val="both"/>
        <w:rPr>
          <w:color w:val="000000"/>
          <w:sz w:val="28"/>
          <w:szCs w:val="28"/>
        </w:rPr>
      </w:pPr>
      <w:r>
        <w:rPr>
          <w:color w:val="000000"/>
          <w:sz w:val="28"/>
          <w:szCs w:val="28"/>
        </w:rPr>
        <w:t>- выплаты денежной компенсации взамен части отпуска превышающего 28 календарных дней в связи со служебной необходимостью;</w:t>
      </w:r>
    </w:p>
    <w:p>
      <w:pPr>
        <w:pStyle w:val="a3"/>
        <w:ind w:firstLine="708"/>
        <w:jc w:val="both"/>
        <w:rPr>
          <w:color w:val="000000"/>
          <w:sz w:val="28"/>
          <w:szCs w:val="28"/>
        </w:rPr>
      </w:pPr>
      <w:r>
        <w:rPr>
          <w:color w:val="000000"/>
          <w:sz w:val="28"/>
          <w:szCs w:val="28"/>
        </w:rPr>
        <w:t>- превышения у не менее чем 50% численности муниципальных служащих органа местного самоуправления, муниципального органа фактически установленного размера е</w:t>
      </w:r>
      <w:r>
        <w:rPr>
          <w:rFonts w:eastAsiaTheme="minorHAnsi"/>
          <w:sz w:val="28"/>
          <w:szCs w:val="28"/>
        </w:rPr>
        <w:t>жемесячной надбавки к должностному окладу за выслугу лет и (или)</w:t>
      </w:r>
      <w:r>
        <w:rPr>
          <w:sz w:val="28"/>
          <w:szCs w:val="28"/>
        </w:rPr>
        <w:t xml:space="preserve"> оклада за классный чин</w:t>
      </w:r>
      <w:r>
        <w:rPr>
          <w:color w:val="000000"/>
          <w:sz w:val="28"/>
          <w:szCs w:val="28"/>
        </w:rPr>
        <w:t xml:space="preserve"> муниципальным служащим над нормативами формирования фонда оплаты, установленными в подпункте 4.1.2 настоящего Порядка».</w:t>
      </w:r>
    </w:p>
    <w:p>
      <w:pPr>
        <w:autoSpaceDE w:val="0"/>
        <w:autoSpaceDN w:val="0"/>
        <w:adjustRightInd w:val="0"/>
        <w:spacing w:line="240" w:lineRule="auto"/>
        <w:ind w:firstLine="709"/>
        <w:contextualSpacing/>
        <w:jc w:val="both"/>
        <w:rPr>
          <w:rFonts w:ascii="Times New Roman" w:eastAsia="Calibri" w:hAnsi="Times New Roman"/>
          <w:sz w:val="28"/>
          <w:szCs w:val="28"/>
        </w:rPr>
      </w:pPr>
      <w:r>
        <w:rPr>
          <w:rFonts w:ascii="Times New Roman" w:eastAsia="Calibri" w:hAnsi="Times New Roman"/>
          <w:sz w:val="28"/>
          <w:szCs w:val="28"/>
        </w:rPr>
        <w:t>2. Настоящее решение вступает в силу с 1 апреля 2020 года.</w:t>
      </w:r>
    </w:p>
    <w:p>
      <w:pPr>
        <w:autoSpaceDE w:val="0"/>
        <w:autoSpaceDN w:val="0"/>
        <w:adjustRightInd w:val="0"/>
        <w:spacing w:line="240" w:lineRule="auto"/>
        <w:ind w:firstLine="709"/>
        <w:contextualSpacing/>
        <w:jc w:val="both"/>
        <w:rPr>
          <w:rFonts w:ascii="Times New Roman" w:eastAsia="Calibri" w:hAnsi="Times New Roman"/>
          <w:sz w:val="28"/>
          <w:szCs w:val="28"/>
        </w:rPr>
      </w:pPr>
    </w:p>
    <w:tbl>
      <w:tblPr>
        <w:tblW w:w="9498" w:type="dxa"/>
        <w:tblLook w:val="01E0" w:firstRow="1" w:lastRow="1" w:firstColumn="1" w:lastColumn="1" w:noHBand="0" w:noVBand="0"/>
      </w:tblPr>
      <w:tblGrid>
        <w:gridCol w:w="4536"/>
        <w:gridCol w:w="4962"/>
      </w:tblGrid>
      <w:tr>
        <w:tc>
          <w:tcPr>
            <w:tcW w:w="4536" w:type="dxa"/>
          </w:tcPr>
          <w:p>
            <w:pPr>
              <w:pStyle w:val="a3"/>
              <w:jc w:val="both"/>
              <w:rPr>
                <w:b/>
                <w:sz w:val="28"/>
                <w:szCs w:val="28"/>
              </w:rPr>
            </w:pPr>
            <w:r>
              <w:rPr>
                <w:b/>
                <w:sz w:val="28"/>
                <w:szCs w:val="28"/>
              </w:rPr>
              <w:t>Глава городского округа</w:t>
            </w:r>
          </w:p>
          <w:p>
            <w:pPr>
              <w:pStyle w:val="a3"/>
              <w:jc w:val="both"/>
              <w:rPr>
                <w:b/>
                <w:sz w:val="28"/>
                <w:szCs w:val="28"/>
              </w:rPr>
            </w:pPr>
          </w:p>
          <w:p>
            <w:pPr>
              <w:pStyle w:val="a3"/>
              <w:jc w:val="both"/>
              <w:rPr>
                <w:b/>
                <w:sz w:val="28"/>
                <w:szCs w:val="28"/>
              </w:rPr>
            </w:pPr>
            <w:r>
              <w:rPr>
                <w:b/>
                <w:sz w:val="28"/>
                <w:szCs w:val="28"/>
              </w:rPr>
              <w:t>_________________Л.А. Николаев</w:t>
            </w:r>
          </w:p>
        </w:tc>
        <w:tc>
          <w:tcPr>
            <w:tcW w:w="4962" w:type="dxa"/>
          </w:tcPr>
          <w:p>
            <w:pPr>
              <w:pStyle w:val="a3"/>
              <w:jc w:val="right"/>
              <w:rPr>
                <w:b/>
                <w:sz w:val="28"/>
                <w:szCs w:val="28"/>
              </w:rPr>
            </w:pPr>
            <w:r>
              <w:rPr>
                <w:b/>
                <w:sz w:val="28"/>
                <w:szCs w:val="28"/>
              </w:rPr>
              <w:t>Председатель Совета депутатов</w:t>
            </w:r>
          </w:p>
          <w:p>
            <w:pPr>
              <w:pStyle w:val="a3"/>
              <w:jc w:val="right"/>
              <w:rPr>
                <w:b/>
                <w:sz w:val="28"/>
                <w:szCs w:val="28"/>
              </w:rPr>
            </w:pPr>
          </w:p>
          <w:p>
            <w:pPr>
              <w:pStyle w:val="a3"/>
              <w:jc w:val="right"/>
              <w:rPr>
                <w:b/>
                <w:sz w:val="28"/>
                <w:szCs w:val="28"/>
              </w:rPr>
            </w:pPr>
            <w:r>
              <w:rPr>
                <w:b/>
                <w:sz w:val="28"/>
                <w:szCs w:val="28"/>
              </w:rPr>
              <w:t>__________________В.А. Тюхтий</w:t>
            </w:r>
          </w:p>
        </w:tc>
      </w:tr>
    </w:tbl>
    <w:p>
      <w:pPr>
        <w:tabs>
          <w:tab w:val="left" w:pos="780"/>
        </w:tabs>
        <w:spacing w:line="240" w:lineRule="auto"/>
        <w:jc w:val="both"/>
        <w:rPr>
          <w:rFonts w:ascii="Times New Roman" w:hAnsi="Times New Roman"/>
          <w:sz w:val="28"/>
          <w:szCs w:val="28"/>
        </w:rPr>
      </w:pPr>
    </w:p>
    <w:p>
      <w:pPr>
        <w:tabs>
          <w:tab w:val="left" w:pos="780"/>
        </w:tabs>
        <w:spacing w:line="240" w:lineRule="auto"/>
        <w:jc w:val="both"/>
        <w:rPr>
          <w:rFonts w:ascii="Times New Roman" w:hAnsi="Times New Roman"/>
          <w:sz w:val="28"/>
          <w:szCs w:val="28"/>
        </w:rPr>
      </w:pPr>
      <w:r>
        <w:rPr>
          <w:rFonts w:ascii="Times New Roman" w:hAnsi="Times New Roman"/>
          <w:sz w:val="28"/>
          <w:szCs w:val="28"/>
        </w:rPr>
        <w:t>г. Анадырь</w:t>
      </w:r>
    </w:p>
    <w:p>
      <w:pPr>
        <w:pStyle w:val="a3"/>
        <w:contextualSpacing/>
        <w:jc w:val="both"/>
        <w:rPr>
          <w:rFonts w:eastAsiaTheme="minorHAnsi"/>
          <w:iCs/>
          <w:sz w:val="28"/>
          <w:szCs w:val="28"/>
        </w:rPr>
      </w:pPr>
      <w:r>
        <w:rPr>
          <w:rFonts w:eastAsiaTheme="minorHAnsi"/>
          <w:iCs/>
          <w:sz w:val="28"/>
          <w:szCs w:val="28"/>
        </w:rPr>
        <w:t>26 марта 2020 года</w:t>
      </w:r>
    </w:p>
    <w:p>
      <w:pPr>
        <w:pStyle w:val="a3"/>
        <w:contextualSpacing/>
        <w:jc w:val="both"/>
        <w:rPr>
          <w:sz w:val="28"/>
          <w:szCs w:val="28"/>
        </w:rPr>
      </w:pPr>
      <w:r>
        <w:rPr>
          <w:rFonts w:eastAsiaTheme="minorHAnsi"/>
          <w:iCs/>
          <w:sz w:val="28"/>
          <w:szCs w:val="28"/>
        </w:rPr>
        <w:t>№ 51</w:t>
      </w:r>
      <w:bookmarkStart w:id="0" w:name="_GoBack"/>
      <w:bookmarkEnd w:id="0"/>
    </w:p>
    <w:sectPr>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2B460-4F94-4434-B150-9D4B89160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styleId="a3">
    <w:name w:val="No Spacing"/>
    <w:uiPriority w:val="1"/>
    <w:qFormat/>
    <w:pPr>
      <w:spacing w:after="0" w:line="240" w:lineRule="auto"/>
    </w:pPr>
    <w:rPr>
      <w:rFonts w:ascii="Times New Roman" w:eastAsia="Times New Roman" w:hAnsi="Times New Roman" w:cs="Times New Roman"/>
      <w:sz w:val="20"/>
      <w:szCs w:val="20"/>
    </w:r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748B6-8838-409D-88E5-B8B149CCC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1510</Words>
  <Characters>8610</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И. Тюнягина</dc:creator>
  <cp:keywords/>
  <dc:description/>
  <cp:lastModifiedBy>Ирина Листопадова</cp:lastModifiedBy>
  <cp:revision>4</cp:revision>
  <cp:lastPrinted>2020-03-19T05:27:00Z</cp:lastPrinted>
  <dcterms:created xsi:type="dcterms:W3CDTF">2020-03-24T03:36:00Z</dcterms:created>
  <dcterms:modified xsi:type="dcterms:W3CDTF">2020-03-26T05:30:00Z</dcterms:modified>
</cp:coreProperties>
</file>